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BA68C3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AB5BFB">
        <w:rPr>
          <w:b/>
          <w:bCs/>
          <w:color w:val="000000"/>
          <w:sz w:val="22"/>
          <w:szCs w:val="22"/>
        </w:rPr>
        <w:t>152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4106A5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3653F1DB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4106A5" w:rsidRPr="004106A5">
        <w:rPr>
          <w:b/>
          <w:bCs/>
          <w:sz w:val="22"/>
        </w:rPr>
        <w:t>Napraw</w:t>
      </w:r>
      <w:r w:rsidR="004106A5">
        <w:rPr>
          <w:b/>
          <w:bCs/>
          <w:sz w:val="22"/>
        </w:rPr>
        <w:t>ę</w:t>
      </w:r>
      <w:r w:rsidR="004106A5" w:rsidRPr="004106A5">
        <w:rPr>
          <w:b/>
          <w:bCs/>
          <w:sz w:val="22"/>
        </w:rPr>
        <w:t xml:space="preserve"> spękań budynku przy ul. Walentego Roździeńskiego 79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106A5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5BFB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2023-10-09T11:09:00Z</dcterms:created>
  <dcterms:modified xsi:type="dcterms:W3CDTF">2023-10-17T09:53:00Z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